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4E6C" w14:textId="74CAF24A" w:rsidR="00BC213C" w:rsidRDefault="00BC213C">
      <w:pPr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PANAMA: a propósito de la reforma de la Ley de la Marina Mercante.</w:t>
      </w:r>
    </w:p>
    <w:p w14:paraId="28BE0595" w14:textId="1CE8F2FB" w:rsidR="00BC213C" w:rsidRDefault="00BC213C">
      <w:pPr>
        <w:rPr>
          <w:b/>
          <w:bCs/>
          <w:i/>
          <w:iCs/>
          <w:color w:val="002060"/>
          <w:sz w:val="36"/>
          <w:szCs w:val="36"/>
        </w:rPr>
      </w:pPr>
    </w:p>
    <w:p w14:paraId="2FBE5676" w14:textId="02BECCF9" w:rsidR="00BC213C" w:rsidRDefault="00E64301">
      <w:pPr>
        <w:rPr>
          <w:sz w:val="24"/>
          <w:szCs w:val="24"/>
        </w:rPr>
      </w:pPr>
      <w:r>
        <w:rPr>
          <w:sz w:val="24"/>
          <w:szCs w:val="24"/>
        </w:rPr>
        <w:t xml:space="preserve">Las reformas legislativas suelen ser siempre “cosas de palacio que van despacio”. El actual Gobierno panameño ha emprendido la reforma de la Ley 57 </w:t>
      </w:r>
      <w:r w:rsidR="00D67564">
        <w:rPr>
          <w:sz w:val="24"/>
          <w:szCs w:val="24"/>
        </w:rPr>
        <w:t xml:space="preserve">de la Marina Mercante, integrada en el paquete de 2008 de la Presidencia de Martin Torrijos. Pero el país pasa por momentos convulsos que exigen atenciones y urgencias más acuciantes, siendo patente que la respuesta gubernamental no contenta a los ciudadanos sometidos a restricciones bajo una fuerte crisis económica y social. La reforma de la Ley 57, tras catorce años de rodaje, viene motivada con fuerte acento por la competencia de matriculación de tonelaje que están planteado los registros abiertos de Liberia </w:t>
      </w:r>
      <w:r w:rsidR="0027178C">
        <w:rPr>
          <w:sz w:val="24"/>
          <w:szCs w:val="24"/>
        </w:rPr>
        <w:t>e Islas Marshall, una competencia que amenaza el actual liderazgo mundial del pabellón panameño</w:t>
      </w:r>
      <w:r w:rsidR="00400723">
        <w:rPr>
          <w:sz w:val="24"/>
          <w:szCs w:val="24"/>
        </w:rPr>
        <w:t>, mantenido desde 1993.</w:t>
      </w:r>
      <w:r w:rsidR="00051F8A">
        <w:rPr>
          <w:sz w:val="24"/>
          <w:szCs w:val="24"/>
        </w:rPr>
        <w:t>El Registro panameño creció un 9.6% en los dos últimos años</w:t>
      </w:r>
      <w:r w:rsidR="00E537B5">
        <w:rPr>
          <w:sz w:val="24"/>
          <w:szCs w:val="24"/>
        </w:rPr>
        <w:t>, mientras que el liberiano aumentó en un 15% su tonelaje, aunque está aún a una distancia de 40M de toneladas para alcanzar a Panamá.</w:t>
      </w:r>
    </w:p>
    <w:p w14:paraId="1AC2DFD5" w14:textId="1A2CB186" w:rsidR="0027178C" w:rsidRDefault="0027178C">
      <w:pPr>
        <w:rPr>
          <w:sz w:val="24"/>
          <w:szCs w:val="24"/>
        </w:rPr>
      </w:pPr>
      <w:r>
        <w:rPr>
          <w:sz w:val="24"/>
          <w:szCs w:val="24"/>
        </w:rPr>
        <w:t>Panamá localiza la reforma en la necesidad de hacer frente a la carrera comercial en los “open registries” con innovaciones tecnológicas y mayor agilidad en las tramitaciones y gestiones registrales</w:t>
      </w:r>
      <w:r w:rsidR="00536386">
        <w:rPr>
          <w:sz w:val="24"/>
          <w:szCs w:val="24"/>
        </w:rPr>
        <w:t xml:space="preserve"> (como, </w:t>
      </w:r>
      <w:r w:rsidR="00E007B4">
        <w:rPr>
          <w:sz w:val="24"/>
          <w:szCs w:val="24"/>
        </w:rPr>
        <w:t>p.ej., la</w:t>
      </w:r>
      <w:r w:rsidR="00536386">
        <w:rPr>
          <w:sz w:val="24"/>
          <w:szCs w:val="24"/>
        </w:rPr>
        <w:t xml:space="preserve"> gestión en la nube y el pago </w:t>
      </w:r>
      <w:r w:rsidR="00400723">
        <w:rPr>
          <w:sz w:val="24"/>
          <w:szCs w:val="24"/>
        </w:rPr>
        <w:t xml:space="preserve">en línea), así como con mayores atractivos en materia descuentos y revisión de </w:t>
      </w:r>
      <w:r w:rsidR="00E007B4">
        <w:rPr>
          <w:sz w:val="24"/>
          <w:szCs w:val="24"/>
        </w:rPr>
        <w:t>tarifas.</w:t>
      </w:r>
      <w:r>
        <w:rPr>
          <w:sz w:val="24"/>
          <w:szCs w:val="24"/>
        </w:rPr>
        <w:t xml:space="preserve"> Sin duda, la rapidez unida al menor coste, será siempre un atractivo para los navieros extranjeros.</w:t>
      </w:r>
    </w:p>
    <w:p w14:paraId="0CE5D7CE" w14:textId="6CCA1D88" w:rsidR="00D532F0" w:rsidRDefault="0027178C">
      <w:pPr>
        <w:rPr>
          <w:sz w:val="24"/>
          <w:szCs w:val="24"/>
        </w:rPr>
      </w:pPr>
      <w:r>
        <w:rPr>
          <w:sz w:val="24"/>
          <w:szCs w:val="24"/>
        </w:rPr>
        <w:t>El mercado mundial del tonelaje mercante</w:t>
      </w:r>
      <w:r w:rsidR="00536386">
        <w:rPr>
          <w:sz w:val="24"/>
          <w:szCs w:val="24"/>
        </w:rPr>
        <w:t xml:space="preserve"> no es cautivo sino volátil, en cuanto resulta a menudo dependiente de las oportunidades de captación de un determinado buque de gran porte y de las habilidades de los contactos. No hay que olvidar los frecuentes “trasvases” de altos funcionarios de un Registro a otro, no obstante la mencionada competencia.</w:t>
      </w:r>
      <w:r w:rsidR="00E007B4">
        <w:rPr>
          <w:sz w:val="24"/>
          <w:szCs w:val="24"/>
        </w:rPr>
        <w:t xml:space="preserve"> </w:t>
      </w:r>
      <w:r w:rsidR="00400723">
        <w:rPr>
          <w:sz w:val="24"/>
          <w:szCs w:val="24"/>
        </w:rPr>
        <w:t>Y en este sentido, existe especial sensibilidad por el hecho de que personal que labora en puestos jerárquicos de la marina mercante</w:t>
      </w:r>
      <w:r w:rsidR="00E007B4">
        <w:rPr>
          <w:sz w:val="24"/>
          <w:szCs w:val="24"/>
        </w:rPr>
        <w:t xml:space="preserve"> panameña, con amplio manejo de información estratégica, pueda ir a trabajar con otro competidor inmediatamente después de dejar su puesto.</w:t>
      </w:r>
      <w:r w:rsidR="00E537B5">
        <w:rPr>
          <w:sz w:val="24"/>
          <w:szCs w:val="24"/>
        </w:rPr>
        <w:t xml:space="preserve"> </w:t>
      </w:r>
      <w:r w:rsidR="0050306D">
        <w:rPr>
          <w:sz w:val="24"/>
          <w:szCs w:val="24"/>
        </w:rPr>
        <w:t xml:space="preserve">A fin de evitar tales supuestos no bastaría, a mi entender, con la suscripción de un “non-disclosure agreement” , que puede ignorarse impunemente, sino de un auténtico régimen sancionador </w:t>
      </w:r>
      <w:r w:rsidR="00D532F0">
        <w:rPr>
          <w:sz w:val="24"/>
          <w:szCs w:val="24"/>
        </w:rPr>
        <w:t>que contemple la competencia desleal contra los intereses panameños.</w:t>
      </w:r>
    </w:p>
    <w:p w14:paraId="684AF0D0" w14:textId="20DBE9A4" w:rsidR="0027178C" w:rsidRDefault="00051F8A">
      <w:pPr>
        <w:rPr>
          <w:sz w:val="24"/>
          <w:szCs w:val="24"/>
        </w:rPr>
      </w:pPr>
      <w:r>
        <w:rPr>
          <w:sz w:val="24"/>
          <w:szCs w:val="24"/>
        </w:rPr>
        <w:t>El actual Subdirector de la Marina Mercante, Demóstenes Sánchez, se muestra partidario de una revisión normativa que debe ir más allá de la Ley 57 para modificar, también, la Ley 7 de 1998 por la que fue creada la AMP, ya que la ley orgánica limita el presupuesto a las inversiones tecnológicas y para la contratación de expertos internacionales.</w:t>
      </w:r>
      <w:r w:rsidR="00400723">
        <w:rPr>
          <w:sz w:val="24"/>
          <w:szCs w:val="24"/>
        </w:rPr>
        <w:t xml:space="preserve"> </w:t>
      </w:r>
    </w:p>
    <w:p w14:paraId="2F9EED1B" w14:textId="409AEB94" w:rsidR="00E537B5" w:rsidRDefault="00E44F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Efectivamente</w:t>
      </w:r>
      <w:r w:rsidR="00E537B5">
        <w:rPr>
          <w:sz w:val="24"/>
          <w:szCs w:val="24"/>
        </w:rPr>
        <w:t xml:space="preserve">, late en el ambiente que </w:t>
      </w:r>
      <w:r>
        <w:rPr>
          <w:sz w:val="24"/>
          <w:szCs w:val="24"/>
        </w:rPr>
        <w:t xml:space="preserve">el sentir que la reconfiguración de la Marina Mercante panameña habría </w:t>
      </w:r>
      <w:r w:rsidR="00A62FDA">
        <w:rPr>
          <w:sz w:val="24"/>
          <w:szCs w:val="24"/>
        </w:rPr>
        <w:t>de</w:t>
      </w:r>
      <w:r>
        <w:rPr>
          <w:sz w:val="24"/>
          <w:szCs w:val="24"/>
        </w:rPr>
        <w:t xml:space="preserve"> significar introducirla y asentarla en raíles modernos de calidad, que la alej</w:t>
      </w:r>
      <w:r w:rsidR="00A62FDA">
        <w:rPr>
          <w:sz w:val="24"/>
          <w:szCs w:val="24"/>
        </w:rPr>
        <w:t>ase</w:t>
      </w:r>
      <w:r>
        <w:rPr>
          <w:sz w:val="24"/>
          <w:szCs w:val="24"/>
        </w:rPr>
        <w:t xml:space="preserve">n definitivamente de los “productos” que ofrecen otros registros libres operados por meras sociedades anónimas mercantiles. Se trataría de un plano competitivo global, no sólo comercial y tecnológico sino estructura y de ejemplaridad. Lo primero afectaría a la organización </w:t>
      </w:r>
      <w:r w:rsidR="0044580B">
        <w:rPr>
          <w:sz w:val="24"/>
          <w:szCs w:val="24"/>
        </w:rPr>
        <w:t>y jerarquía, obligaciones y responsabilidades, formación y especialización, y un régimen administrativo sancionador. Lo segundo tocaría</w:t>
      </w:r>
      <w:r w:rsidR="00A62FDA">
        <w:rPr>
          <w:sz w:val="24"/>
          <w:szCs w:val="24"/>
        </w:rPr>
        <w:t xml:space="preserve"> a, por muchos</w:t>
      </w:r>
      <w:r w:rsidR="0044580B">
        <w:rPr>
          <w:sz w:val="24"/>
          <w:szCs w:val="24"/>
        </w:rPr>
        <w:t xml:space="preserve"> deseable</w:t>
      </w:r>
      <w:r w:rsidR="00A62FDA">
        <w:rPr>
          <w:sz w:val="24"/>
          <w:szCs w:val="24"/>
        </w:rPr>
        <w:t>,</w:t>
      </w:r>
      <w:r w:rsidR="0044580B">
        <w:rPr>
          <w:sz w:val="24"/>
          <w:szCs w:val="24"/>
        </w:rPr>
        <w:t xml:space="preserve"> eliminación de la actual confusión funcional entre los Cónsules y los agentes o representantes del Registro Marítimo, de modo que los Cónsules </w:t>
      </w:r>
      <w:r w:rsidR="00035C1F">
        <w:rPr>
          <w:sz w:val="24"/>
          <w:szCs w:val="24"/>
        </w:rPr>
        <w:t xml:space="preserve">se abstengan de tareas y desempeños relativas al registro, y se concentren todas las actuaciones en un “Encargado del Registro de naves”, dependiente de la AMP (cuyo titular tiene rango ministerial); como lo son, p.ej., </w:t>
      </w:r>
      <w:r w:rsidR="00A50574">
        <w:rPr>
          <w:sz w:val="24"/>
          <w:szCs w:val="24"/>
        </w:rPr>
        <w:t xml:space="preserve">los “Agregados de Cultura”, “Agregados de Defensa” y “Encargados de Negocios”, a nivel diplomático. Tal segregación </w:t>
      </w:r>
      <w:r w:rsidR="00BA423B">
        <w:rPr>
          <w:sz w:val="24"/>
          <w:szCs w:val="24"/>
        </w:rPr>
        <w:t>impediría, o al menos haría más difícil, los casos de colusión de intereses en la competencia exterior por el tonelaje registral.</w:t>
      </w:r>
    </w:p>
    <w:p w14:paraId="0BFFA239" w14:textId="77777777" w:rsidR="00A66064" w:rsidRDefault="00700A51">
      <w:pPr>
        <w:rPr>
          <w:sz w:val="24"/>
          <w:szCs w:val="24"/>
        </w:rPr>
      </w:pPr>
      <w:r>
        <w:rPr>
          <w:sz w:val="24"/>
          <w:szCs w:val="24"/>
        </w:rPr>
        <w:t xml:space="preserve">La reforma podría extenderse, también, a la Ley 55 en materia de créditos marítimos privilegiados y otros temas de ejecución forzosa de naves. A pocos navieros extranjeros le debe hacer feliz que su nave matriculada y registrada en Panamá sea responsable, real y privilegiada frente a otros créditos, por las reclamaciones de daños y perjuicios derivadas de culpa o </w:t>
      </w:r>
      <w:r w:rsidR="009553F9">
        <w:rPr>
          <w:sz w:val="24"/>
          <w:szCs w:val="24"/>
        </w:rPr>
        <w:t>negligencia (</w:t>
      </w:r>
      <w:r>
        <w:rPr>
          <w:sz w:val="24"/>
          <w:szCs w:val="24"/>
        </w:rPr>
        <w:t>art.244- numeral 7)</w:t>
      </w:r>
      <w:r w:rsidR="009553F9">
        <w:rPr>
          <w:sz w:val="24"/>
          <w:szCs w:val="24"/>
        </w:rPr>
        <w:t>, que en la práctica son todas las que no encajan en los otros numerales. Pero, como al principio fue advertido, la Asamblea va a estar próximamente ocupada con la tramitación de cambios legislativos que surjan de la actual “Mesa de Negociación Política”, a la vista de las elecciones de 2024; y no puede esperarse un largo y complejo trabajo en Comisión, que preside el Facilitador Pérez de León, Director del Centro de Resolución de Conflictos de la Universidad de Panamá</w:t>
      </w:r>
      <w:r w:rsidR="00A66064">
        <w:rPr>
          <w:sz w:val="24"/>
          <w:szCs w:val="24"/>
        </w:rPr>
        <w:t>, para no llegar a modificación alguna si el punto de mira de amplia demasiado, ambiciones aparte.</w:t>
      </w:r>
    </w:p>
    <w:p w14:paraId="6AC6BDFC" w14:textId="77777777" w:rsidR="00A66064" w:rsidRDefault="00A66064">
      <w:pPr>
        <w:rPr>
          <w:sz w:val="24"/>
          <w:szCs w:val="24"/>
        </w:rPr>
      </w:pPr>
      <w:r>
        <w:rPr>
          <w:sz w:val="24"/>
          <w:szCs w:val="24"/>
        </w:rPr>
        <w:t>Panamá puede reaccionar con dos años de retraso, en un momento coyuntural poco propicio, y puede llevar a cabo un “lavado de cara tecnológico” en la Marina Mercante. Un objetivo más amplio y más consolidado en la convergencia internacional quedaría, no obstante, pendiente.</w:t>
      </w:r>
    </w:p>
    <w:p w14:paraId="14909C92" w14:textId="77777777" w:rsidR="00A66064" w:rsidRDefault="00A66064">
      <w:pPr>
        <w:rPr>
          <w:sz w:val="24"/>
          <w:szCs w:val="24"/>
        </w:rPr>
      </w:pPr>
    </w:p>
    <w:p w14:paraId="00D7B6C2" w14:textId="5F6C4F6D" w:rsidR="00A66064" w:rsidRDefault="00A66064">
      <w:pPr>
        <w:rPr>
          <w:sz w:val="24"/>
          <w:szCs w:val="24"/>
        </w:rPr>
      </w:pPr>
      <w:r>
        <w:rPr>
          <w:sz w:val="24"/>
          <w:szCs w:val="24"/>
        </w:rPr>
        <w:t>José M. Alcántara González,</w:t>
      </w:r>
    </w:p>
    <w:p w14:paraId="592FFBC3" w14:textId="6582D0A1" w:rsidR="00A66064" w:rsidRDefault="00A66064">
      <w:pPr>
        <w:rPr>
          <w:sz w:val="24"/>
          <w:szCs w:val="24"/>
        </w:rPr>
      </w:pPr>
      <w:r>
        <w:rPr>
          <w:sz w:val="24"/>
          <w:szCs w:val="24"/>
        </w:rPr>
        <w:t>Arbitro y Consultor Marítimo</w:t>
      </w:r>
    </w:p>
    <w:p w14:paraId="668AA680" w14:textId="7022598F" w:rsidR="00EC1CF0" w:rsidRDefault="00EC1CF0">
      <w:pPr>
        <w:rPr>
          <w:sz w:val="24"/>
          <w:szCs w:val="24"/>
        </w:rPr>
      </w:pPr>
    </w:p>
    <w:p w14:paraId="70D2B3B7" w14:textId="2B9D9A89" w:rsidR="00EC1CF0" w:rsidRDefault="00EC1CF0">
      <w:pPr>
        <w:rPr>
          <w:sz w:val="24"/>
          <w:szCs w:val="24"/>
        </w:rPr>
      </w:pPr>
      <w:r>
        <w:rPr>
          <w:sz w:val="24"/>
          <w:szCs w:val="24"/>
        </w:rPr>
        <w:t>10-9-22</w:t>
      </w:r>
    </w:p>
    <w:p w14:paraId="37DCEEB4" w14:textId="0F5D1412" w:rsidR="00BA423B" w:rsidRPr="009A40F3" w:rsidRDefault="009553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A423B" w:rsidRPr="009A4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3C"/>
    <w:rsid w:val="00035C1F"/>
    <w:rsid w:val="00051F8A"/>
    <w:rsid w:val="0027178C"/>
    <w:rsid w:val="00400723"/>
    <w:rsid w:val="0044580B"/>
    <w:rsid w:val="0050306D"/>
    <w:rsid w:val="00536386"/>
    <w:rsid w:val="00700A51"/>
    <w:rsid w:val="009553F9"/>
    <w:rsid w:val="009A40F3"/>
    <w:rsid w:val="00A50574"/>
    <w:rsid w:val="00A62FDA"/>
    <w:rsid w:val="00A66064"/>
    <w:rsid w:val="00BA423B"/>
    <w:rsid w:val="00BC213C"/>
    <w:rsid w:val="00C578C0"/>
    <w:rsid w:val="00D532F0"/>
    <w:rsid w:val="00D67564"/>
    <w:rsid w:val="00E007B4"/>
    <w:rsid w:val="00E44F91"/>
    <w:rsid w:val="00E537B5"/>
    <w:rsid w:val="00E64301"/>
    <w:rsid w:val="00E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34E0"/>
  <w15:chartTrackingRefBased/>
  <w15:docId w15:val="{452FE9D9-F925-4D47-A93D-D857EAE0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</dc:creator>
  <cp:keywords/>
  <dc:description/>
  <cp:lastModifiedBy>JOSE MARIA</cp:lastModifiedBy>
  <cp:revision>8</cp:revision>
  <dcterms:created xsi:type="dcterms:W3CDTF">2022-09-10T16:20:00Z</dcterms:created>
  <dcterms:modified xsi:type="dcterms:W3CDTF">2022-09-10T17:51:00Z</dcterms:modified>
</cp:coreProperties>
</file>